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DC-0133 · Contract</w:t>
      </w:r>
    </w:p>
    <w:p>
      <w:pPr>
        <w:pStyle w:val="Title"/>
      </w:pPr>
      <w:r>
        <w:t xml:space="preserve">In Pari Delicto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refusal to help a party recover under an illegal agreement when both are equally at fault, and the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65</w:t>
      </w:r>
    </w:p>
    <w:p>
      <w:pPr>
        <w:pStyle w:val="Bullet"/>
      </w:pPr>
      <w:r>
        <w:t xml:space="preserve">•  Kuju Collieries Ltd. v. Jharkhand Mines Ltd., (1974) 2 SCC 533</w:t>
      </w:r>
    </w:p>
    <w:p>
      <w:pPr>
        <w:pStyle w:val="Bullet"/>
      </w:pPr>
      <w:r>
        <w:t xml:space="preserve">•  Sita Ram v. Radha Bai, AIR 1968 SC 534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https://fpr.iura.in/doctrines/in-pari-delicto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