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DC-0140 · Arbitration</w:t>
      </w:r>
    </w:p>
    <w:p>
      <w:pPr>
        <w:pStyle w:val="Title"/>
      </w:pPr>
      <w:r>
        <w:t xml:space="preserve">Incorporation by Reference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an arbitration clause in one document becomes part of another contract that refers to it, and the specific reference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7(5)</w:t>
      </w:r>
    </w:p>
    <w:p>
      <w:pPr>
        <w:pStyle w:val="Bullet"/>
      </w:pPr>
      <w:r>
        <w:t xml:space="preserve">•  M.R. Engineers &amp; Contractors (P) Ltd. v. Som Datt Builders Ltd., (2009) 7 SCC 696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https://fpr.iura.in/doctrines/incorporation-by-reference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