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Doctrine · DC-0030 · Corporate</w:t>
      </w:r>
    </w:p>
    <w:p>
      <w:pPr>
        <w:pStyle w:val="Title"/>
      </w:pPr>
      <w:r>
        <w:t xml:space="preserve">Indoor Management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w:t>
      </w:r>
    </w:p>
    <w:p>
      <w:pPr>
        <w:pStyle w:val="Guidance"/>
      </w:pPr>
      <w:r>
        <w:t xml:space="preserve">State the doctrine in a sentence or two, as a court would apply it.</w:t>
      </w:r>
    </w:p>
    <w:p/>
    <w:p>
      <w:pPr>
        <w:pStyle w:val="Heading1"/>
      </w:pPr>
      <w:r>
        <w:t xml:space="preserve">The leading cases</w:t>
      </w:r>
    </w:p>
    <w:p>
      <w:pPr>
        <w:pStyle w:val="Guidance"/>
      </w:pPr>
      <w:r>
        <w:t xml:space="preserve">Where it began and the decisions that shaped it, with pinpoint references.</w:t>
      </w:r>
    </w:p>
    <w:p/>
    <w:p>
      <w:pPr>
        <w:pStyle w:val="Heading1"/>
      </w:pPr>
      <w:r>
        <w:t xml:space="preserve">Limits and exceptions</w:t>
      </w:r>
    </w:p>
    <w:p>
      <w:pPr>
        <w:pStyle w:val="Guidance"/>
      </w:pPr>
      <w:r>
        <w:t xml:space="preserve">When the doctrine does not apply, and who decided that.</w:t>
      </w:r>
    </w:p>
    <w:p/>
    <w:p>
      <w:pPr>
        <w:pStyle w:val="Heading1"/>
      </w:pPr>
      <w:r>
        <w:t xml:space="preserve">How it is applied today</w:t>
      </w:r>
    </w:p>
    <w:p>
      <w:pPr>
        <w:pStyle w:val="Guidance"/>
      </w:pPr>
      <w:r>
        <w:t xml:space="preserve">Two or three recent decisions that show the doctrine at work.</w:t>
      </w:r>
    </w:p>
    <w:p/>
    <w:p>
      <w:pPr>
        <w:pStyle w:val="Heading1"/>
      </w:pPr>
      <w:r>
        <w:t xml:space="preserve">What is unsettled</w:t>
      </w:r>
    </w:p>
    <w:p>
      <w:pPr>
        <w:pStyle w:val="Guidance"/>
      </w:pPr>
      <w:r>
        <w:t xml:space="preserve">Open questions and conflicting decisions.</w:t>
      </w:r>
    </w:p>
    <w:p/>
    <w:p>
      <w:pPr>
        <w:pStyle w:val="Heading1"/>
      </w:pPr>
      <w:r>
        <w:t xml:space="preserve">Notes for the writer (delete before submitting)</w:t>
      </w:r>
    </w:p>
    <w:p>
      <w:pPr>
        <w:pStyle w:val="Guidance"/>
      </w:pPr>
      <w:r>
        <w:t xml:space="preserve">Scope of this entry. An outsider dealing with a company may assume its internal procedures were followed; the exceptions for knowledge, suspicion and forgery.</w:t>
      </w:r>
    </w:p>
    <w:p>
      <w:pPr>
        <w:pStyle w:val="Guidance"/>
      </w:pPr>
      <w:r>
        <w:t xml:space="preserve">Authorities to start from. These are places to begin, listed by the editors. Read each one in the original and check the citation before you rely on it.</w:t>
      </w:r>
    </w:p>
    <w:p>
      <w:pPr>
        <w:pStyle w:val="Bullet"/>
      </w:pPr>
      <w:r>
        <w:t xml:space="preserve">•  Royal British Bank v. Turquand, (1856) 6 E&amp;B 327</w:t>
      </w:r>
    </w:p>
    <w:p>
      <w:pPr>
        <w:pStyle w:val="Bullet"/>
      </w:pPr>
      <w:r>
        <w:t xml:space="preserve">•  Lakshmi Ratan Cotton Mills Co. Ltd. v. J.K. Jute Mills Co. Ltd., AIR 1957 All 311</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https://fpr.iura.in/doctrines/indoor-management</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