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DC-0108 · Criminal</w:t>
      </w:r>
    </w:p>
    <w:p>
      <w:pPr>
        <w:pStyle w:val="Title"/>
      </w:pPr>
      <w:r>
        <w:t xml:space="preserve">Intoxication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When drunkenness is a defence, the difference between voluntary and involuntary intoxication, and its bearing on intention.</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Penal Code, 1860, §§ 85, 86 (now Bharatiya Nyaya Sanhita, 2023, §§ 23, 24)</w:t>
      </w:r>
    </w:p>
    <w:p>
      <w:pPr>
        <w:pStyle w:val="Bullet"/>
      </w:pPr>
      <w:r>
        <w:t xml:space="preserve">•  Basdev v. State of Pepsu, AIR 1956 SC 488</w:t>
      </w:r>
    </w:p>
    <w:p>
      <w:pPr>
        <w:pStyle w:val="Guidance"/>
      </w:pPr>
      <w:r>
        <w:t xml:space="preserve">Length. At least 2,000 words if you are in year 1 or 2, and at least 3,000 from year 3 on. Footnotes do not count.</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https://fpr.iura.in/doctrines/intoxication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