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DC-0095 · Constitutional</w:t>
      </w:r>
    </w:p>
    <w:p>
      <w:pPr>
        <w:pStyle w:val="Title"/>
      </w:pPr>
      <w:r>
        <w:t xml:space="preserve">Irregularity and Illegality in Legislative Procedure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bar on courts questioning proceedings in a legislature for mere irregularity, and the review that remains for illegality.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122, 212</w:t>
      </w:r>
    </w:p>
    <w:p>
      <w:pPr>
        <w:pStyle w:val="Bullet"/>
      </w:pPr>
      <w:r>
        <w:t xml:space="preserve">•  Raja Ram Pal v. Hon’ble Speaker, Lok Sabha, (2007) 3 SCC 184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https://fpr.iura.in/doctrines/irregularity-and-illegality-of-legislative-procedure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