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DC-0046 · Family</w:t>
      </w:r>
    </w:p>
    <w:p>
      <w:pPr>
        <w:pStyle w:val="Title"/>
      </w:pPr>
      <w:r>
        <w:t xml:space="preserve">Irretrievable Breakdown of 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Not a statutory ground of divorce, but one the Supreme Court applies under Article 142: when it does, and the factors it weighs.</w:t>
      </w:r>
    </w:p>
    <w:p>
      <w:pPr>
        <w:pStyle w:val="Guidance"/>
      </w:pPr>
      <w:r>
        <w:t xml:space="preserve">Authorities to start from. These are places to begin, listed by the editors. Read each one in the original and check the citation before you rely on it.</w:t>
      </w:r>
    </w:p>
    <w:p>
      <w:pPr>
        <w:pStyle w:val="Bullet"/>
      </w:pPr>
      <w:r>
        <w:t xml:space="preserve">•  Shilpa Sailesh v. Varun Sreenivasan, (2023) 14 SCC 231</w:t>
      </w:r>
    </w:p>
    <w:p>
      <w:pPr>
        <w:pStyle w:val="Bullet"/>
      </w:pPr>
      <w:r>
        <w:t xml:space="preserve">•  Naveen Kohli v. Neelu Kohli, (2006) 4 SCC 558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https://fpr.iura.in/doctrines/irretrievable-breakdown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