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DC-0217 · Property</w:t>
      </w:r>
    </w:p>
    <w:p>
      <w:pPr>
        <w:pStyle w:val="Title"/>
      </w:pPr>
      <w:r>
        <w:t xml:space="preserve">Irrevocable Licence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two cases in which a licence cannot be revoked: when coupled with a transfer of property, and when the licensee has built on the faith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Easements Act, 1882, § 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https://fpr.iura.in/doctrines/irrevocable-licence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