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DC-0032 · Arbitration</w:t>
      </w:r>
    </w:p>
    <w:p>
      <w:pPr>
        <w:pStyle w:val="Title"/>
      </w:pPr>
      <w:r>
        <w:t xml:space="preserve">Kompetenz-Kompetenz</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tribunal’s power to rule on its own jurisdiction, and how far a referring court may look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16</w:t>
      </w:r>
    </w:p>
    <w:p>
      <w:pPr>
        <w:pStyle w:val="Bullet"/>
      </w:pPr>
      <w:r>
        <w:t xml:space="preserve">•  Vidya Drolia v. Durga Trading Corpn., (2021)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https://fpr.iura.in/doctrines/kompetenz-kompetenz</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