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Doctrine · DC-0208 · Tort</w:t>
      </w:r>
    </w:p>
    <w:p>
      <w:pPr>
        <w:pStyle w:val="Title"/>
      </w:pPr>
      <w:r>
        <w:t xml:space="preserve">Last Opportunity</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rule</w:t>
      </w:r>
    </w:p>
    <w:p>
      <w:pPr>
        <w:pStyle w:val="Guidance"/>
      </w:pPr>
      <w:r>
        <w:t xml:space="preserve">State the doctrine in a sentence or two, as a court would apply it.</w:t>
      </w:r>
    </w:p>
    <w:p/>
    <w:p>
      <w:pPr>
        <w:pStyle w:val="Heading1"/>
      </w:pPr>
      <w:r>
        <w:t xml:space="preserve">The leading cases</w:t>
      </w:r>
    </w:p>
    <w:p>
      <w:pPr>
        <w:pStyle w:val="Guidance"/>
      </w:pPr>
      <w:r>
        <w:t xml:space="preserve">Where it began and the decisions that shaped it, with pinpoint references.</w:t>
      </w:r>
    </w:p>
    <w:p/>
    <w:p>
      <w:pPr>
        <w:pStyle w:val="Heading1"/>
      </w:pPr>
      <w:r>
        <w:t xml:space="preserve">Limits and exceptions</w:t>
      </w:r>
    </w:p>
    <w:p>
      <w:pPr>
        <w:pStyle w:val="Guidance"/>
      </w:pPr>
      <w:r>
        <w:t xml:space="preserve">When the doctrine does not apply, and who decided that.</w:t>
      </w:r>
    </w:p>
    <w:p/>
    <w:p>
      <w:pPr>
        <w:pStyle w:val="Heading1"/>
      </w:pPr>
      <w:r>
        <w:t xml:space="preserve">How it is applied today</w:t>
      </w:r>
    </w:p>
    <w:p>
      <w:pPr>
        <w:pStyle w:val="Guidance"/>
      </w:pPr>
      <w:r>
        <w:t xml:space="preserve">Two or three recent decisions that show the doctrine at work.</w:t>
      </w:r>
    </w:p>
    <w:p/>
    <w:p>
      <w:pPr>
        <w:pStyle w:val="Heading1"/>
      </w:pPr>
      <w:r>
        <w:t xml:space="preserve">What is unsettled</w:t>
      </w:r>
    </w:p>
    <w:p>
      <w:pPr>
        <w:pStyle w:val="Guidance"/>
      </w:pPr>
      <w:r>
        <w:t xml:space="preserve">Open questions and conflicting decisions.</w:t>
      </w:r>
    </w:p>
    <w:p/>
    <w:p>
      <w:pPr>
        <w:pStyle w:val="Heading1"/>
      </w:pPr>
      <w:r>
        <w:t xml:space="preserve">Notes for the writer (delete before submitting)</w:t>
      </w:r>
    </w:p>
    <w:p>
      <w:pPr>
        <w:pStyle w:val="Guidance"/>
      </w:pPr>
      <w:r>
        <w:t xml:space="preserve">Scope of this entry. The older rule that the party who had the last chance to avoid the accident bears the whole loss.</w:t>
      </w:r>
    </w:p>
    <w:p>
      <w:pPr>
        <w:pStyle w:val="Guidance"/>
      </w:pPr>
      <w:r>
        <w:t xml:space="preserve">Authorities to start from. These are places to begin, listed by the editors. Read each one in the original and check the citation before you rely on it.</w:t>
      </w:r>
    </w:p>
    <w:p>
      <w:pPr>
        <w:pStyle w:val="Bullet"/>
      </w:pPr>
      <w:r>
        <w:t xml:space="preserve">•  Davies v. Mann, (1842) 10 M&amp;W 546</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https://fpr.iura.in/doctrines/last-opportunity</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