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DC-0035 · Criminal</w:t>
      </w:r>
    </w:p>
    <w:p>
      <w:pPr>
        <w:pStyle w:val="Title"/>
      </w:pPr>
      <w:r>
        <w:t xml:space="preserve">Last Seen Together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circumstance in a chain of circumstantial evidence, not a rule of guilt: the time gap, and the role of section 106.</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Rajasthan v. Kashi Ram, (2006) 12 SCC 254</w:t>
      </w:r>
    </w:p>
    <w:p>
      <w:pPr>
        <w:pStyle w:val="Bullet"/>
      </w:pPr>
      <w:r>
        <w:t xml:space="preserve">•  Sharad Birdhichand Sarda v. State of Maharashtra, (1984) 4 SCC 116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https://fpr.iura.in/doctrines/last-seen-together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