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DC-0014 · Administrative</w:t>
      </w:r>
    </w:p>
    <w:p>
      <w:pPr>
        <w:pStyle w:val="Title"/>
      </w:pPr>
      <w:r>
        <w:t xml:space="preserve">Legitimate Expectation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An expectation founded on a promise or settled practice of a public authority: what it entitles a person to, and when public interest overrides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Food Corporation of India v. Kamdhenu Cattle Feed Industries, (1993) 1 SCC 71</w:t>
      </w:r>
    </w:p>
    <w:p>
      <w:pPr>
        <w:pStyle w:val="Bullet"/>
      </w:pPr>
      <w:r>
        <w:t xml:space="preserve">•  Union of India v. Hindustan Development Corpn., (1993) 3 SCC 499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https://fpr.iura.in/doctrines/legitimate-expectation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