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DC-0029 · Corporate</w:t>
      </w:r>
    </w:p>
    <w:p>
      <w:pPr>
        <w:pStyle w:val="Title"/>
      </w:pPr>
      <w:r>
        <w:t xml:space="preserve">Lifting the Corporate Veil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courts look behind the company to its controllers: fraud, sham, statute and the single economic entity.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LIC of India v. Escorts Ltd., (1986) 1 SCC 264</w:t>
      </w:r>
    </w:p>
    <w:p>
      <w:pPr>
        <w:pStyle w:val="Bullet"/>
      </w:pPr>
      <w:r>
        <w:t xml:space="preserve">•  Balwant Rai Saluja v. Air India Ltd., (2014) 9 SCC 407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https://fpr.iura.in/doctrines/lifting-the-corporate-veil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