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DC-0018 · Property</w:t>
      </w:r>
    </w:p>
    <w:p>
      <w:pPr>
        <w:pStyle w:val="Title"/>
      </w:pPr>
      <w:r>
        <w:t xml:space="preserve">Lis Pendens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transfer of property during a suit about it binds the transferee to the result: section 52 and the conditions for its operation.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52</w:t>
      </w:r>
    </w:p>
    <w:p>
      <w:pPr>
        <w:pStyle w:val="Bullet"/>
      </w:pPr>
      <w:r>
        <w:t xml:space="preserve">•  Jayaram Mudaliar v. Ayyaswami, (1972) 2 SCC 200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https://fpr.iura.in/doctrines/lis-pendens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