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DC-0038 · Civil Procedure</w:t>
      </w:r>
    </w:p>
    <w:p>
      <w:pPr>
        <w:pStyle w:val="Title"/>
      </w:pPr>
      <w:r>
        <w:t xml:space="preserve">Merger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the order of a lower court merges in that of the appellate court, and what happens when a special leave petition is dismissed.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Kunhayammed v. State of Kerala, (2000) 6 SCC 359</w:t>
      </w:r>
    </w:p>
    <w:p>
      <w:pPr>
        <w:pStyle w:val="Bullet"/>
      </w:pPr>
      <w:r>
        <w:t xml:space="preserve">•  Khoday Distilleries Ltd. v. Sri Mahadeshwara Sahakara Sakkare Karkhane Ltd., (2019) 4 SCC 376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https://fpr.iura.in/doctrines/merger-of-orders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