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DC-0042 · Tax</w:t>
      </w:r>
    </w:p>
    <w:p>
      <w:pPr>
        <w:pStyle w:val="Title"/>
      </w:pPr>
      <w:r>
        <w:t xml:space="preserve">Mutuality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No one can make a profit out of oneself: the exemption for clubs and associations, and its limits.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Bangalore Club v. CIT, (2013) 5 SCC 509</w:t>
      </w:r>
    </w:p>
    <w:p>
      <w:pPr>
        <w:pStyle w:val="Bullet"/>
      </w:pPr>
      <w:r>
        <w:t xml:space="preserve">•  State of W.B. v. Calcutta Club Ltd., (2019) 19 SCC 107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https://fpr.iura.in/doctrines/mutuality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