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DC-0049 · Labour</w:t>
      </w:r>
    </w:p>
    <w:p>
      <w:pPr>
        <w:pStyle w:val="Title"/>
      </w:pPr>
      <w:r>
        <w:t xml:space="preserve">No Work, No Pay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Wages for periods of strike, wrongful dismissal and suspension: the rule and the many situations where it gives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 of India v. T.S. Kelawala, (1990) 4 SCC 744</w:t>
      </w:r>
    </w:p>
    <w:p>
      <w:pPr>
        <w:pStyle w:val="Bullet"/>
      </w:pPr>
      <w:r>
        <w:t xml:space="preserve">•  Syndicate Bank v. K. Umesh Nayak, (1994) 5 SCC 572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https://fpr.iura.in/doctrines/no-work-no-pay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