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DC-0008 · Constitutional</w:t>
      </w:r>
    </w:p>
    <w:p>
      <w:pPr>
        <w:pStyle w:val="Title"/>
      </w:pPr>
      <w:r>
        <w:t xml:space="preserve">Occupied Field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a Central law is taken to cover a field so fully that State law on the same subject must yield.</w:t>
      </w:r>
    </w:p>
    <w:p>
      <w:pPr>
        <w:pStyle w:val="Guidance"/>
      </w:pPr>
      <w:r>
        <w:t xml:space="preserve">Authorities to start from. These are places to begin, listed by the editors. Read each one in the original and check the citation before you rely on it.</w:t>
      </w:r>
    </w:p>
    <w:p>
      <w:pPr>
        <w:pStyle w:val="Bullet"/>
      </w:pPr>
      <w:r>
        <w:t xml:space="preserve">•  Tika Ramji v. State of U.P., AIR 1956 SC 676</w:t>
      </w:r>
    </w:p>
    <w:p>
      <w:pPr>
        <w:pStyle w:val="Bullet"/>
      </w:pPr>
      <w:r>
        <w:t xml:space="preserve">•  State of Kerala v. Mar Appraem Kuri Co. Ltd., (2012) 7 SCC 106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https://fpr.iura.in/doctrines/occupied-field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