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DC-0163 · Family</w:t>
      </w:r>
    </w:p>
    <w:p>
      <w:pPr>
        <w:pStyle w:val="Title"/>
      </w:pPr>
      <w:r>
        <w:t xml:space="preserve">Option of Puberty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person married as a minor to repudiate the marriage on reaching puberty, as recognised by statute for women.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Dissolution of Muslim Marriages Act, 1939, § 2(vii)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https://fpr.iura.in/doctrines/option-of-puberty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