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DC-0146 · Tort</w:t>
      </w:r>
    </w:p>
    <w:p>
      <w:pPr>
        <w:pStyle w:val="Title"/>
      </w:pPr>
      <w:r>
        <w:t xml:space="preserve">Pay and Recover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direction to a motor insurer to pay the victim first and recover from the owner where the policy was breached.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National Insurance Co. Ltd. v. Swaran Singh, (2004) 3 SCC 297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https://fpr.iura.in/doctrines/pay-and-recover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