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DC-0191 · Jurisprudence</w:t>
      </w:r>
    </w:p>
    <w:p>
      <w:pPr>
        <w:pStyle w:val="Title"/>
      </w:pPr>
      <w:r>
        <w:t xml:space="preserve">Per Incuriam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decision given in ignorance of a binding statute or precedent, and why a later court need not follow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 Antulay v. R.S. Nayak, (1988) 2 SCC 602</w:t>
      </w:r>
    </w:p>
    <w:p>
      <w:pPr>
        <w:pStyle w:val="Bullet"/>
      </w:pPr>
      <w:r>
        <w:t xml:space="preserve">•  State of U.P. v. Synthetics &amp; Chemicals Ltd., (1991) 4 SCC 139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https://fpr.iura.in/doctrines/per-incuriam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