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DC-0048 · Family</w:t>
      </w:r>
    </w:p>
    <w:p>
      <w:pPr>
        <w:pStyle w:val="Title"/>
      </w:pPr>
      <w:r>
        <w:t xml:space="preserve">Pious Obligation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son’s duty to pay his father’s untainted debts from coparcenary property, and its abolition for debts contracted after 2005.</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6(4)</w:t>
      </w:r>
    </w:p>
    <w:p>
      <w:pPr>
        <w:pStyle w:val="Bullet"/>
      </w:pPr>
      <w:r>
        <w:t xml:space="preserve">•  Sidheshwar Mukherjee v. Bhubneshwar Prasad Narain Singh, AIR 1953 SC 487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https://fpr.iura.in/doctrines/pious-obligation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