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DC-0220 · International (Public)</w:t>
      </w:r>
    </w:p>
    <w:p>
      <w:pPr>
        <w:pStyle w:val="Title"/>
      </w:pPr>
      <w:r>
        <w:t xml:space="preserve">Political Offence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refusal to extradite a person for an offence of a political character, and the offences statute excludes from that description.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31(1)(a)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https://fpr.iura.in/doctrines/political-offence-exception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