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DC-0098 · Administrative</w:t>
      </w:r>
    </w:p>
    <w:p>
      <w:pPr>
        <w:pStyle w:val="Title"/>
      </w:pPr>
      <w:r>
        <w:t xml:space="preserve">Post-Decisional Hearing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hearing given after the decision in cases of urgency, and why courts treat it as a poor substitute.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Maneka Gandhi v. Union of India, (1978) 1 SCC 248</w:t>
      </w:r>
    </w:p>
    <w:p>
      <w:pPr>
        <w:pStyle w:val="Bullet"/>
      </w:pPr>
      <w:r>
        <w:t xml:space="preserve">•  Swadeshi Cotton Mills v. Union of India, (1981) 1 SCC 664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https://fpr.iura.in/doctrines/post-decisional-hearing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