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DC-0202 · Tax</w:t>
      </w:r>
    </w:p>
    <w:p>
      <w:pPr>
        <w:pStyle w:val="Title"/>
      </w:pPr>
      <w:r>
        <w:t xml:space="preserve">Protective Assessment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Assessing the same income in the hands of a second person as a precaution while it is undecided to whom it belongs.</w:t>
      </w:r>
    </w:p>
    <w:p>
      <w:pPr>
        <w:pStyle w:val="Guidance"/>
      </w:pPr>
      <w:r>
        <w:t xml:space="preserve">Authorities to start from. These are places to begin, listed by the editors. Read each one in the original and check the citation before you rely on it.</w:t>
      </w:r>
    </w:p>
    <w:p>
      <w:pPr>
        <w:pStyle w:val="Bullet"/>
      </w:pPr>
      <w:r>
        <w:t xml:space="preserve">•  Lalji Haridas v. ITO, (1961) 43 ITR 387 (SC)</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https://fpr.iura.in/doctrines/protective-assessment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