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DC-0167 · Corporate</w:t>
      </w:r>
    </w:p>
    <w:p>
      <w:pPr>
        <w:pStyle w:val="Title"/>
      </w:pPr>
      <w:r>
        <w:t xml:space="preserve">Quasi-Partnership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Treating a small company founded on mutual trust like a partnership when deciding whether to wind it up or give relief.</w:t>
      </w:r>
    </w:p>
    <w:p>
      <w:pPr>
        <w:pStyle w:val="Guidance"/>
      </w:pPr>
      <w:r>
        <w:t xml:space="preserve">Authorities to start from. These are places to begin, listed by the editors. Read each one in the original and check the citation before you rely on it.</w:t>
      </w:r>
    </w:p>
    <w:p>
      <w:pPr>
        <w:pStyle w:val="Bullet"/>
      </w:pPr>
      <w:r>
        <w:t xml:space="preserve">•  Ebrahimi v. Westbourne Galleries Ltd., [1973] AC 360</w:t>
      </w:r>
    </w:p>
    <w:p>
      <w:pPr>
        <w:pStyle w:val="Bullet"/>
      </w:pPr>
      <w:r>
        <w:t xml:space="preserve">•  Hind Overseas (P) Ltd. v. Raghunath Prasad Jhunjhunwalla, (1976) 3 SCC 259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https://fpr.iura.in/doctrines/quasi-partnership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