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DC-0007 · Constitutional</w:t>
      </w:r>
    </w:p>
    <w:p>
      <w:pPr>
        <w:pStyle w:val="Title"/>
      </w:pPr>
      <w:r>
        <w:t xml:space="preserve">Repugnancy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Conflict between Central and State laws in the Concurrent List under Article 254: when it arises, and how Presidential assent resolves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M. Karunanidhi v. Union of India, (1979) 3 SCC 431</w:t>
      </w:r>
    </w:p>
    <w:p>
      <w:pPr>
        <w:pStyle w:val="Bullet"/>
      </w:pPr>
      <w:r>
        <w:t xml:space="preserve">•  Deep Chand v. State of U.P., AIR 1959 SC 648</w:t>
      </w:r>
    </w:p>
    <w:p>
      <w:pPr>
        <w:pStyle w:val="Bullet"/>
      </w:pPr>
      <w:r>
        <w:t xml:space="preserve">•  India Const. art. 254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https://fpr.iura.in/doctrines/repugnancy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