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DC-0024 · Contract</w:t>
      </w:r>
    </w:p>
    <w:p>
      <w:pPr>
        <w:pStyle w:val="Title"/>
      </w:pPr>
      <w:r>
        <w:t xml:space="preserve">Restraint of Trade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Section 27 voids agreements in restraint of trade without a reasonableness inquiry: the consequences for non-compete clauses.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27</w:t>
      </w:r>
    </w:p>
    <w:p>
      <w:pPr>
        <w:pStyle w:val="Bullet"/>
      </w:pPr>
      <w:r>
        <w:t xml:space="preserve">•  Niranjan Shankar Golikari v. Century Spinning &amp; Mfg. Co. Ltd., AIR 1967 SC 1098</w:t>
      </w:r>
    </w:p>
    <w:p>
      <w:pPr>
        <w:pStyle w:val="Bullet"/>
      </w:pPr>
      <w:r>
        <w:t xml:space="preserve">•  Percept D’Mark (India) (P) Ltd. v. Zaheer Khan, (2006) 4 SCC 227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https://fpr.iura.in/doctrines/restraint-of-trade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