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DC-0187 · International (Public)</w:t>
      </w:r>
    </w:p>
    <w:p>
      <w:pPr>
        <w:pStyle w:val="Title"/>
      </w:pPr>
      <w:r>
        <w:t xml:space="preserve">Rule of Speciality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an extradited person may be tried only for the offence for which they were surrendered.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Extradition Act, 1962, § 21</w:t>
      </w:r>
    </w:p>
    <w:p>
      <w:pPr>
        <w:pStyle w:val="Bullet"/>
      </w:pPr>
      <w:r>
        <w:t xml:space="preserve">•  Daya Singh Lahoria v. Union of India, (2001) 4 SCC 516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https://fpr.iura.in/doctrines/rule-of-speciality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