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Doctrine · DC-0198 · Administrative</w:t>
      </w:r>
    </w:p>
    <w:p>
      <w:pPr>
        <w:pStyle w:val="Title"/>
      </w:pPr>
      <w:r>
        <w:t xml:space="preserve">Sealed Cover Procedure in Promotions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w:t>
      </w:r>
    </w:p>
    <w:p>
      <w:pPr>
        <w:pStyle w:val="Guidance"/>
      </w:pPr>
      <w:r>
        <w:t xml:space="preserve">State the doctrine in a sentence or two, as a court would apply it.</w:t>
      </w:r>
    </w:p>
    <w:p/>
    <w:p>
      <w:pPr>
        <w:pStyle w:val="Heading1"/>
      </w:pPr>
      <w:r>
        <w:t xml:space="preserve">The leading cases</w:t>
      </w:r>
    </w:p>
    <w:p>
      <w:pPr>
        <w:pStyle w:val="Guidance"/>
      </w:pPr>
      <w:r>
        <w:t xml:space="preserve">Where it began and the decisions that shaped it, with pinpoint references.</w:t>
      </w:r>
    </w:p>
    <w:p/>
    <w:p>
      <w:pPr>
        <w:pStyle w:val="Heading1"/>
      </w:pPr>
      <w:r>
        <w:t xml:space="preserve">Limits and exceptions</w:t>
      </w:r>
    </w:p>
    <w:p>
      <w:pPr>
        <w:pStyle w:val="Guidance"/>
      </w:pPr>
      <w:r>
        <w:t xml:space="preserve">When the doctrine does not apply, and who decided that.</w:t>
      </w:r>
    </w:p>
    <w:p/>
    <w:p>
      <w:pPr>
        <w:pStyle w:val="Heading1"/>
      </w:pPr>
      <w:r>
        <w:t xml:space="preserve">How it is applied today</w:t>
      </w:r>
    </w:p>
    <w:p>
      <w:pPr>
        <w:pStyle w:val="Guidance"/>
      </w:pPr>
      <w:r>
        <w:t xml:space="preserve">Two or three recent decisions that show the doctrine at work.</w:t>
      </w:r>
    </w:p>
    <w:p/>
    <w:p>
      <w:pPr>
        <w:pStyle w:val="Heading1"/>
      </w:pPr>
      <w:r>
        <w:t xml:space="preserve">What is unsettled</w:t>
      </w:r>
    </w:p>
    <w:p>
      <w:pPr>
        <w:pStyle w:val="Guidance"/>
      </w:pPr>
      <w:r>
        <w:t xml:space="preserve">Open questions and conflicting decisions.</w:t>
      </w:r>
    </w:p>
    <w:p/>
    <w:p>
      <w:pPr>
        <w:pStyle w:val="Heading1"/>
      </w:pPr>
      <w:r>
        <w:t xml:space="preserve">Notes for the writer (delete before submitting)</w:t>
      </w:r>
    </w:p>
    <w:p>
      <w:pPr>
        <w:pStyle w:val="Guidance"/>
      </w:pPr>
      <w:r>
        <w:t xml:space="preserve">Scope of this entry. Keeping the result of a promotion committee in a sealed cover for an employee facing charges, and the stage from which it applies.</w:t>
      </w:r>
    </w:p>
    <w:p>
      <w:pPr>
        <w:pStyle w:val="Guidance"/>
      </w:pPr>
      <w:r>
        <w:t xml:space="preserve">Authorities to start from. These are places to begin, listed by the editors. Read each one in the original and check the citation before you rely on it.</w:t>
      </w:r>
    </w:p>
    <w:p>
      <w:pPr>
        <w:pStyle w:val="Bullet"/>
      </w:pPr>
      <w:r>
        <w:t xml:space="preserve">•  Union of India v. K.V. Jankiraman, (1991) 4 SCC 109</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https://fpr.iura.in/doctrines/sealed-cover-in-promotions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