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DC-0115 · Criminal</w:t>
      </w:r>
    </w:p>
    <w:p>
      <w:pPr>
        <w:pStyle w:val="Title"/>
      </w:pPr>
      <w:r>
        <w:t xml:space="preserve">Bar on a Second FIR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against a second first information report on the same incident, and the test of sameness that decides when it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T.T. Antony v. State of Kerala, (2001) 6 SCC 181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https://fpr.iura.in/doctrines/second-fir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