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DC-0033 · Arbitration</w:t>
      </w:r>
    </w:p>
    <w:p>
      <w:pPr>
        <w:pStyle w:val="Title"/>
      </w:pPr>
      <w:r>
        <w:t xml:space="preserve">Separability of the Arbitration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arbitration clause survives the invalidity of the contract containing it, and the stamp-duty litigation that tested the idea.</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16(1)</w:t>
      </w:r>
    </w:p>
    <w:p>
      <w:pPr>
        <w:pStyle w:val="Bullet"/>
      </w:pPr>
      <w:r>
        <w:t xml:space="preserve">•  In re Interplay Between Arbitration Agreements under the Arbitration and Conciliation Act, 1996 and the Indian Stamp Act, 1899, (2024) 6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https://fpr.iura.in/doctrines/separability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