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DC-0003 · Constitutional</w:t>
      </w:r>
    </w:p>
    <w:p>
      <w:pPr>
        <w:pStyle w:val="Title"/>
      </w:pPr>
      <w:r>
        <w:t xml:space="preserve">Severability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When the invalid part of a statute can be cut away and the rest saved, and the tests for deciding whether it can.</w:t>
      </w:r>
    </w:p>
    <w:p>
      <w:pPr>
        <w:pStyle w:val="Guidance"/>
      </w:pPr>
      <w:r>
        <w:t xml:space="preserve">Authorities to start from. These are places to begin, listed by the editors. Read each one in the original and check the citation before you rely on it.</w:t>
      </w:r>
    </w:p>
    <w:p>
      <w:pPr>
        <w:pStyle w:val="Bullet"/>
      </w:pPr>
      <w:r>
        <w:t xml:space="preserve">•  R.M.D. Chamarbaugwalla v. Union of India, AIR 1957 SC 628</w:t>
      </w:r>
    </w:p>
    <w:p>
      <w:pPr>
        <w:pStyle w:val="Bullet"/>
      </w:pPr>
      <w:r>
        <w:t xml:space="preserve">•  India Const. art. 13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https://fpr.iura.in/doctrines/severability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