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DC-0027 · Tort</w:t>
      </w:r>
    </w:p>
    <w:p>
      <w:pPr>
        <w:pStyle w:val="Title"/>
      </w:pPr>
      <w:r>
        <w:t xml:space="preserve">Sovereign Immunity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State’s immunity in tort for sovereign functions, and its erosion through constitutional compensation.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Kasturi Lal Ralia Ram Jain v. State of U.P., AIR 1965 SC 1039</w:t>
      </w:r>
    </w:p>
    <w:p>
      <w:pPr>
        <w:pStyle w:val="Bullet"/>
      </w:pPr>
      <w:r>
        <w:t xml:space="preserve">•  State of Rajasthan v. Vidhyawati, AIR 1962 SC 933</w:t>
      </w:r>
    </w:p>
    <w:p>
      <w:pPr>
        <w:pStyle w:val="Bullet"/>
      </w:pPr>
      <w:r>
        <w:t xml:space="preserve">•  N. Nagendra Rao &amp; Co. v. State of A.P., (1994) 6 SCC 205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https://fpr.iura.in/doctrines/sovereign-immunity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