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DC-0122 · Civil Procedure</w:t>
      </w:r>
    </w:p>
    <w:p>
      <w:pPr>
        <w:pStyle w:val="Title"/>
      </w:pPr>
      <w:r>
        <w:t xml:space="preserve">Bar on Splitting Claims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plaintiff must sue for the whole claim arising from one cause of action or lose what is left 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II, Rule 2</w:t>
      </w:r>
    </w:p>
    <w:p>
      <w:pPr>
        <w:pStyle w:val="Bullet"/>
      </w:pPr>
      <w:r>
        <w:t xml:space="preserve">•  Gurbux Singh v. Bhooralal, AIR 1964 SC 1810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https://fpr.iura.in/doctrines/splitting-of-claims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