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DC-0100 · Administrative</w:t>
      </w:r>
    </w:p>
    <w:p>
      <w:pPr>
        <w:pStyle w:val="Title"/>
      </w:pPr>
      <w:r>
        <w:t xml:space="preserve">Sub-Delegation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delegate cannot delegate further without authority, and the difference between delegating a power and taking help.</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Barium Chemicals Ltd. v. Company Law Board, AIR 1967 SC 295</w:t>
      </w:r>
    </w:p>
    <w:p>
      <w:pPr>
        <w:pStyle w:val="Bullet"/>
      </w:pPr>
      <w:r>
        <w:t xml:space="preserve">•  Sahni Silk Mills (P) Ltd. v. ESI Corpn., (1994) 5 SCC 346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https://fpr.iura.in/doctrines/sub-delegation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