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DC-0192 · Jurisprudence</w:t>
      </w:r>
    </w:p>
    <w:p>
      <w:pPr>
        <w:pStyle w:val="Title"/>
      </w:pPr>
      <w:r>
        <w:t xml:space="preserve">Sub Silentio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 point that passed without argument or consideration in an earlier case, which is therefore no precedent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Corporation of Delhi v. Gurnam Kaur, (1989) 1 SCC 101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https://fpr.iura.in/doctrines/sub-silentio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