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DC-0136 · Contract</w:t>
      </w:r>
    </w:p>
    <w:p>
      <w:pPr>
        <w:pStyle w:val="Title"/>
      </w:pPr>
      <w:r>
        <w:t xml:space="preserve">Subrogation in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insurer’s right, having paid the loss, to stand in the insured’s place against the person who caused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Economic Transport Organisation v. Charan Spinning Mills (P) Ltd., (2010) 4 SCC 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https://fpr.iura.in/doctrines/subrogation-in-insurance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