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DC-0114 · Criminal</w:t>
      </w:r>
    </w:p>
    <w:p>
      <w:pPr>
        <w:pStyle w:val="Title"/>
      </w:pPr>
      <w:r>
        <w:t xml:space="preserve">Supervening Circumstances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Events after a death sentence becomes final, such as long delay in deciding a mercy petition, that require it to be commuted.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Shatrughan Chauhan v. Union of India, (2014) 3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https://fpr.iura.in/doctrines/supervening-circumstances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