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DC-0036 · Criminal</w:t>
      </w:r>
    </w:p>
    <w:p>
      <w:pPr>
        <w:pStyle w:val="Title"/>
      </w:pPr>
      <w:r>
        <w:t xml:space="preserve">Transferred Malice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Intent aimed at one victim attaches to the death of another: section 301 and its application.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301 (now Bharatiya Nyaya Sanhita, 2023, § 102)</w:t>
      </w:r>
    </w:p>
    <w:p>
      <w:pPr>
        <w:pStyle w:val="Bullet"/>
      </w:pPr>
      <w:r>
        <w:t xml:space="preserve">•  Gyanendra Kumar v. State of U.P., (1972) 1 SCC 370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https://fpr.iura.in/doctrines/transferred-malice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