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DC-0164 · Corporate</w:t>
      </w:r>
    </w:p>
    <w:p>
      <w:pPr>
        <w:pStyle w:val="Title"/>
      </w:pPr>
      <w:r>
        <w:t xml:space="preserve">Ultra Vires in Company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company cannot act outside the objects in its memorandum, and what is left of it today.</w:t>
      </w:r>
    </w:p>
    <w:p>
      <w:pPr>
        <w:pStyle w:val="Guidance"/>
      </w:pPr>
      <w:r>
        <w:t xml:space="preserve">Authorities to start from. These are places to begin, listed by the editors. Read each one in the original and check the citation before you rely on it.</w:t>
      </w:r>
    </w:p>
    <w:p>
      <w:pPr>
        <w:pStyle w:val="Bullet"/>
      </w:pPr>
      <w:r>
        <w:t xml:space="preserve">•  Ashbury Railway Carriage &amp; Iron Co. v. Riche, (1875) LR 7 HL 653</w:t>
      </w:r>
    </w:p>
    <w:p>
      <w:pPr>
        <w:pStyle w:val="Bullet"/>
      </w:pPr>
      <w:r>
        <w:t xml:space="preserve">•  A. Lakshmanaswami Mudaliar v. LIC, AIR 1963 SC 1185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https://fpr.iura.in/doctrines/ultra-vires-in-company-law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