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DC-0053 · Tax</w:t>
      </w:r>
    </w:p>
    <w:p>
      <w:pPr>
        <w:pStyle w:val="Title"/>
      </w:pPr>
      <w:r>
        <w:t xml:space="preserve">Unjust Enrichment in Tax Refunds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taxpayer who has passed the burden of an illegal tax to customers cannot claim the refund for himself.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Mafatlal Industries Ltd. v. Union of India, (1997) 5 SCC 536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https://fpr.iura.in/doctrines/unjust-enrichment-in-tax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