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DC-0068 · Tort</w:t>
      </w:r>
    </w:p>
    <w:p>
      <w:pPr>
        <w:pStyle w:val="Title"/>
      </w:pPr>
      <w:r>
        <w:t xml:space="preserve">Volenti Non Fit Injuria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Consent to the risk as a defence to negligence: knowledge is not consent, and the rescue and employment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Smith v. Charles Baker &amp; Sons, [1891] AC 325</w:t>
      </w:r>
    </w:p>
    <w:p>
      <w:pPr>
        <w:pStyle w:val="Bullet"/>
      </w:pPr>
      <w:r>
        <w:t xml:space="preserve">•  Haynes v. Harwood, [1935] 1 KB 146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https://fpr.iura.in/doctrines/volenti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