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DC-0004 · Constitutional</w:t>
      </w:r>
    </w:p>
    <w:p>
      <w:pPr>
        <w:pStyle w:val="Title"/>
      </w:pPr>
      <w:r>
        <w:t xml:space="preserve">Waiver of Fundamental Rights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Whether a person can give up a fundamental right. The Indian answer, and the reasoning that rights are also limits on the State.</w:t>
      </w:r>
    </w:p>
    <w:p>
      <w:pPr>
        <w:pStyle w:val="Guidance"/>
      </w:pPr>
      <w:r>
        <w:t xml:space="preserve">Authorities to start from. These are places to begin, listed by the editors. Read each one in the original and check the citation before you rely on it.</w:t>
      </w:r>
    </w:p>
    <w:p>
      <w:pPr>
        <w:pStyle w:val="Bullet"/>
      </w:pPr>
      <w:r>
        <w:t xml:space="preserve">•  Basheshar Nath v. CIT, AIR 1959 SC 149</w:t>
      </w:r>
    </w:p>
    <w:p>
      <w:pPr>
        <w:pStyle w:val="Bullet"/>
      </w:pPr>
      <w:r>
        <w:t xml:space="preserve">•  Olga Tellis v. Bombay Municipal Corpn., (1985) 3 SCC 545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https://fpr.iura.in/doctrines/waiver-of-fundamental-rights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