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FL-0029 · Labour</w:t>
      </w:r>
    </w:p>
    <w:p>
      <w:pPr>
        <w:pStyle w:val="Title"/>
      </w:pPr>
      <w:r>
        <w:t xml:space="preserve">Which Allowances Count as Basic Wages?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Provident fund contributions on allowances paid universally to all employees, and the scale of the consequences.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Bridge &amp; Roof Co. (India) Ltd. v. Union of India, AIR 1963 SC 1474</w:t>
      </w:r>
    </w:p>
    <w:p>
      <w:pPr>
        <w:pStyle w:val="Bullet"/>
      </w:pPr>
      <w:r>
        <w:t xml:space="preserve">•  Regional Provident Fund Commr. v. Vivekananda Vidyamandir, (2020) 17 SCC 643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https://fpr.iura.in/fault-lines/allowances-as-basic-wages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