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FL-0066 · Private International</w:t>
      </w:r>
    </w:p>
    <w:p>
      <w:pPr>
        <w:pStyle w:val="Title"/>
      </w:pPr>
      <w:r>
        <w:t xml:space="preserve">Injunctions against Foreign Arbitrations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When, if ever, an Indian civil court may restrain a party from arbitrating abroad.</w:t>
      </w:r>
    </w:p>
    <w:p>
      <w:pPr>
        <w:pStyle w:val="Guidance"/>
      </w:pPr>
      <w:r>
        <w:t xml:space="preserve">Authorities to start from. These are places to begin, listed by the editors. Read each one in the original and check the citation before you rely on it.</w:t>
      </w:r>
    </w:p>
    <w:p>
      <w:pPr>
        <w:pStyle w:val="Bullet"/>
      </w:pPr>
      <w:r>
        <w:t xml:space="preserve">•  World Sport Group (Mauritius) Ltd. v. MSM Satellite (Singapore) Pte. Ltd., (2014) 11 SCC 639</w:t>
      </w:r>
    </w:p>
    <w:p>
      <w:pPr>
        <w:pStyle w:val="Bullet"/>
      </w:pPr>
      <w:r>
        <w:t xml:space="preserve">•  Chatterjee Petrochem Co. v. Haldia Petrochemicals Ltd., (2014) 14 SCC 574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https://fpr.iura.in/fault-lines/anti-arbitration-injunctions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