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FL-0001 · Criminal</w:t>
      </w:r>
    </w:p>
    <w:p>
      <w:pPr>
        <w:pStyle w:val="Title"/>
      </w:pPr>
      <w:r>
        <w:t xml:space="preserve">Anticipatory Bail and Its Limits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pre-arrest bail must be limited in time: the two lines of authority and the Constitution Bench that chose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Gurbaksh Singh Sibbia v. State of Punjab, (1980) 2 SCC 565</w:t>
      </w:r>
    </w:p>
    <w:p>
      <w:pPr>
        <w:pStyle w:val="Bullet"/>
      </w:pPr>
      <w:r>
        <w:t xml:space="preserve">•  Salauddin Abdulsamad Shaikh v. State of Maharashtra, (1996) 1 SCC 667</w:t>
      </w:r>
    </w:p>
    <w:p>
      <w:pPr>
        <w:pStyle w:val="Bullet"/>
      </w:pPr>
      <w:r>
        <w:t xml:space="preserve">•  Sushila Aggarwal v. State (NCT of Delhi), (2020)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https://fpr.iura.in/fault-lines/anticipatory-bail-duration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