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FL-0027 · Labour</w:t>
      </w:r>
    </w:p>
    <w:p>
      <w:pPr>
        <w:pStyle w:val="Title"/>
      </w:pPr>
      <w:r>
        <w:t xml:space="preserve">Back Wages on Reinstatement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Full back wages as the normal rule, or a matter of discretion with the burden on the worker to show he was not employed.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Tin Works (P) Ltd. v. Employees, (1979) 2 SCC 80</w:t>
      </w:r>
    </w:p>
    <w:p>
      <w:pPr>
        <w:pStyle w:val="Bullet"/>
      </w:pPr>
      <w:r>
        <w:t xml:space="preserve">•  U.P. State Brassware Corpn. Ltd. v. Uday Narain Pandey, (2006) 1 SCC 479</w:t>
      </w:r>
    </w:p>
    <w:p>
      <w:pPr>
        <w:pStyle w:val="Bullet"/>
      </w:pPr>
      <w:r>
        <w:t xml:space="preserve">•  Deepali Gundu Surwase v. Kranti Junior Adhyapak Mahavidyalaya, (2013) 10 SCC 324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https://fpr.iura.in/fault-lines/back-wages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