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FL-0071 · Criminal</w:t>
      </w:r>
    </w:p>
    <w:p>
      <w:pPr>
        <w:pStyle w:val="Title"/>
      </w:pPr>
      <w:r>
        <w:t xml:space="preserve">Bail under the Unlawful Activities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One line of cases bars bail if the accusation looks true on its face; another grants it where trial is long delayed.</w:t>
      </w:r>
    </w:p>
    <w:p>
      <w:pPr>
        <w:pStyle w:val="Guidance"/>
      </w:pPr>
      <w:r>
        <w:t xml:space="preserve">Authorities to start from. These are places to begin, listed by the editors. Read each one in the original and check the citation before you rely on it.</w:t>
      </w:r>
    </w:p>
    <w:p>
      <w:pPr>
        <w:pStyle w:val="Bullet"/>
      </w:pPr>
      <w:r>
        <w:t xml:space="preserve">•  Unlawful Activities (Prevention) Act, 1967, § 43D(5)</w:t>
      </w:r>
    </w:p>
    <w:p>
      <w:pPr>
        <w:pStyle w:val="Bullet"/>
      </w:pPr>
      <w:r>
        <w:t xml:space="preserve">•  National Investigation Agency v. Zahoor Ahmad Shah Watali, (2019) 5 SCC 1</w:t>
      </w:r>
    </w:p>
    <w:p>
      <w:pPr>
        <w:pStyle w:val="Bullet"/>
      </w:pPr>
      <w:r>
        <w:t xml:space="preserve">•  Union of India v. K.A. Najeeb, (2021) 3 SCC 713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https://fpr.iura.in/fault-lines/bail-under-the-unlawful-activities-act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