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FL-0026 · Family</w:t>
      </w:r>
    </w:p>
    <w:p>
      <w:pPr>
        <w:pStyle w:val="Title"/>
      </w:pPr>
      <w:r>
        <w:t xml:space="preserve">Children of Void Marriages and Ancestral Property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such children take only their parents’ self-acquired property or also a share of the parent’s interest in coparcenary property.</w:t>
      </w:r>
    </w:p>
    <w:p>
      <w:pPr>
        <w:pStyle w:val="Guidance"/>
      </w:pPr>
      <w:r>
        <w:t xml:space="preserve">Authorities to start from. These are places to begin, listed by the editors. Read each one in the original and check the citation before you rely on it.</w:t>
      </w:r>
    </w:p>
    <w:p>
      <w:pPr>
        <w:pStyle w:val="Bullet"/>
      </w:pPr>
      <w:r>
        <w:t xml:space="preserve">•  Jinia Keotin v. Kumar Sitaram Manjhi, (2003) 1 SCC 730</w:t>
      </w:r>
    </w:p>
    <w:p>
      <w:pPr>
        <w:pStyle w:val="Bullet"/>
      </w:pPr>
      <w:r>
        <w:t xml:space="preserve">•  Revanasiddappa v. Mallikarjun, (2023)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https://fpr.iura.in/fault-lines/children-of-void-marriages-and-coparcenary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