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FL-0008 · Evidence</w:t>
      </w:r>
    </w:p>
    <w:p>
      <w:pPr>
        <w:pStyle w:val="Title"/>
      </w:pPr>
      <w:r>
        <w:t xml:space="preserve">Are Enforcement Officers "Police Officers"?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statements to customs, narcotics and enforcement officers are barred as confessions to the police.</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Punjab v. Barkat Ram, AIR 1962 SC 276</w:t>
      </w:r>
    </w:p>
    <w:p>
      <w:pPr>
        <w:pStyle w:val="Bullet"/>
      </w:pPr>
      <w:r>
        <w:t xml:space="preserve">•  Raj Kumar Karwal v. Union of India, (1990) 2 SCC 409</w:t>
      </w:r>
    </w:p>
    <w:p>
      <w:pPr>
        <w:pStyle w:val="Bullet"/>
      </w:pPr>
      <w:r>
        <w:t xml:space="preserve">•  Tofan Singh v. State of T.N., (2021) 4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https://fpr.iura.in/fault-lines/confessions-to-revenue-officers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